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</w:t>
      </w:r>
    </w:p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</w:p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</w:p>
    <w:p w:rsidR="00740FF9" w:rsidRDefault="00740FF9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.Б</w:t>
      </w:r>
      <w:proofErr w:type="gramEnd"/>
      <w:r>
        <w:rPr>
          <w:rFonts w:ascii="Times New Roman" w:hAnsi="Times New Roman" w:cs="Times New Roman"/>
          <w:sz w:val="16"/>
          <w:szCs w:val="16"/>
        </w:rPr>
        <w:t>елебей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A341E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FA341E" w:rsidRDefault="00FA341E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Белебеевский колледж механизации и электрификации (ГБПОУ Белебеевский колледж механизации и электрификации) осуществляющее  образовательную   деятельность   (далее  -  Колл</w:t>
      </w:r>
      <w:r w:rsidR="0057501F">
        <w:rPr>
          <w:rFonts w:ascii="Times New Roman" w:hAnsi="Times New Roman" w:cs="Times New Roman"/>
          <w:sz w:val="16"/>
          <w:szCs w:val="16"/>
        </w:rPr>
        <w:t>едж) на основании  лицензии  02П</w:t>
      </w:r>
      <w:r>
        <w:rPr>
          <w:rFonts w:ascii="Times New Roman" w:hAnsi="Times New Roman" w:cs="Times New Roman"/>
          <w:sz w:val="16"/>
          <w:szCs w:val="16"/>
        </w:rPr>
        <w:t>01 №00</w:t>
      </w:r>
      <w:r w:rsidR="0057501F">
        <w:rPr>
          <w:rFonts w:ascii="Times New Roman" w:hAnsi="Times New Roman" w:cs="Times New Roman"/>
          <w:sz w:val="16"/>
          <w:szCs w:val="16"/>
        </w:rPr>
        <w:t>13067</w:t>
      </w:r>
      <w:r>
        <w:rPr>
          <w:rFonts w:ascii="Times New Roman" w:hAnsi="Times New Roman" w:cs="Times New Roman"/>
          <w:sz w:val="16"/>
          <w:szCs w:val="16"/>
        </w:rPr>
        <w:t xml:space="preserve">  от 21 апреля 2015 года выданный Управлением по контролю и надзору в сфере образования Республики Башкортостан, в лице  директора </w:t>
      </w:r>
      <w:proofErr w:type="spellStart"/>
      <w:r w:rsidRPr="006E4225">
        <w:rPr>
          <w:rFonts w:ascii="Times New Roman" w:hAnsi="Times New Roman" w:cs="Times New Roman"/>
          <w:sz w:val="16"/>
          <w:szCs w:val="16"/>
          <w:u w:val="single"/>
        </w:rPr>
        <w:t>Лукманова</w:t>
      </w:r>
      <w:proofErr w:type="spellEnd"/>
      <w:r w:rsidRPr="006E4225">
        <w:rPr>
          <w:rFonts w:ascii="Times New Roman" w:hAnsi="Times New Roman" w:cs="Times New Roman"/>
          <w:sz w:val="16"/>
          <w:szCs w:val="16"/>
          <w:u w:val="single"/>
        </w:rPr>
        <w:t xml:space="preserve"> Наиля Альбертовича</w:t>
      </w:r>
      <w:r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колледжа, именуемый в дальнейшем «Исполнитель» и </w:t>
      </w:r>
      <w:r w:rsidR="00FA34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именуемый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дальнейшем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"Обучающийся" совместно именуемые Стороны, заключили настоящий Договор о нижеследующем: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43"/>
      <w:bookmarkEnd w:id="0"/>
      <w:r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1.1.  Исполнитель   обязуется   предоставить   образовательную  услугу, а   Обучающийся обязуется   оплатить образовательную  услугу      по предоставлению дополнительной рабочей профессии </w:t>
      </w:r>
    </w:p>
    <w:p w:rsidR="00740FF9" w:rsidRPr="006E4225" w:rsidRDefault="00740FF9" w:rsidP="00740FF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профессиональная </w:t>
      </w:r>
      <w:r w:rsidR="0091522C">
        <w:rPr>
          <w:rFonts w:ascii="Times New Roman" w:hAnsi="Times New Roman" w:cs="Times New Roman"/>
          <w:sz w:val="16"/>
          <w:szCs w:val="16"/>
          <w:u w:val="single"/>
        </w:rPr>
        <w:t>переподготовка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C226ED">
        <w:rPr>
          <w:rFonts w:ascii="Times New Roman" w:hAnsi="Times New Roman" w:cs="Times New Roman"/>
          <w:sz w:val="16"/>
          <w:szCs w:val="16"/>
          <w:u w:val="single"/>
        </w:rPr>
        <w:t>трактористов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E4225">
        <w:rPr>
          <w:rFonts w:ascii="Times New Roman" w:hAnsi="Times New Roman" w:cs="Times New Roman"/>
          <w:sz w:val="16"/>
          <w:szCs w:val="16"/>
          <w:u w:val="single"/>
        </w:rPr>
        <w:t xml:space="preserve">категории </w:t>
      </w:r>
      <w:r w:rsidR="00C226ED" w:rsidRPr="006E4225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357843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r w:rsidR="0091522C">
        <w:rPr>
          <w:rFonts w:ascii="Times New Roman" w:hAnsi="Times New Roman" w:cs="Times New Roman"/>
          <w:sz w:val="16"/>
          <w:szCs w:val="16"/>
          <w:u w:val="single"/>
        </w:rPr>
        <w:t>________</w:t>
      </w:r>
      <w:r w:rsidRPr="006E4225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пределах федеральных государственных требований в соответствии с учебными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программами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утвержденными   </w:t>
      </w:r>
      <w:r w:rsidR="00C226ED">
        <w:rPr>
          <w:rFonts w:ascii="Times New Roman" w:hAnsi="Times New Roman" w:cs="Times New Roman"/>
          <w:sz w:val="16"/>
          <w:szCs w:val="16"/>
        </w:rPr>
        <w:t xml:space="preserve">ИГТН </w:t>
      </w:r>
      <w:proofErr w:type="spellStart"/>
      <w:r w:rsidR="00C226ED">
        <w:rPr>
          <w:rFonts w:ascii="Times New Roman" w:hAnsi="Times New Roman" w:cs="Times New Roman"/>
          <w:sz w:val="16"/>
          <w:szCs w:val="16"/>
        </w:rPr>
        <w:t>Давлекановского</w:t>
      </w:r>
      <w:proofErr w:type="spellEnd"/>
      <w:r w:rsidR="00C226ED">
        <w:rPr>
          <w:rFonts w:ascii="Times New Roman" w:hAnsi="Times New Roman" w:cs="Times New Roman"/>
          <w:sz w:val="16"/>
          <w:szCs w:val="16"/>
        </w:rPr>
        <w:t xml:space="preserve"> района РБ</w:t>
      </w:r>
      <w:r w:rsidR="006E4225">
        <w:rPr>
          <w:rFonts w:ascii="Times New Roman" w:hAnsi="Times New Roman" w:cs="Times New Roman"/>
          <w:sz w:val="16"/>
          <w:szCs w:val="16"/>
        </w:rPr>
        <w:t>. Форма обучения – очно-заочная (вечернее)</w:t>
      </w:r>
      <w:r>
        <w:rPr>
          <w:rFonts w:ascii="Times New Roman" w:hAnsi="Times New Roman" w:cs="Times New Roman"/>
          <w:sz w:val="16"/>
          <w:szCs w:val="16"/>
        </w:rPr>
        <w:t>, вид образовательной программы – дополнительное  профессиональное образование, уровень</w:t>
      </w:r>
      <w:r w:rsidR="00FA34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базовой подготовки. </w:t>
      </w:r>
    </w:p>
    <w:p w:rsidR="00740FF9" w:rsidRDefault="00740FF9" w:rsidP="0074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 </w:t>
      </w:r>
      <w:r w:rsidR="00357843">
        <w:rPr>
          <w:rFonts w:ascii="Times New Roman" w:hAnsi="Times New Roman"/>
          <w:sz w:val="16"/>
          <w:szCs w:val="16"/>
        </w:rPr>
        <w:t xml:space="preserve"> _______  </w:t>
      </w:r>
      <w:r w:rsidRPr="006E4225">
        <w:rPr>
          <w:rFonts w:ascii="Times New Roman" w:hAnsi="Times New Roman"/>
          <w:sz w:val="16"/>
          <w:szCs w:val="16"/>
        </w:rPr>
        <w:t>часов</w:t>
      </w:r>
      <w:r w:rsidRPr="008D639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1.3. После освоения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образовательной программы  и  успешного прохождения       итоговой       аттестации         ему      </w:t>
      </w:r>
      <w:r>
        <w:rPr>
          <w:rFonts w:ascii="Times New Roman" w:hAnsi="Times New Roman" w:cs="Times New Roman"/>
          <w:sz w:val="16"/>
          <w:szCs w:val="16"/>
          <w:u w:val="single"/>
        </w:rPr>
        <w:t>выдается   свидетельство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II. Права Исполнителя  и Обучающегося 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43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hyperlink r:id="rId6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43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Обращаться к Исполнителю  по вопросам, касающимся образовательного процесса.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социально-культурных, оздоровительных и иных мероприятиях, организованных Исполнителем.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III. Обязанности Исполнителя и Обучающегося 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740FF9" w:rsidRPr="00595694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95694">
        <w:rPr>
          <w:rFonts w:ascii="Times New Roman" w:hAnsi="Times New Roman" w:cs="Times New Roman"/>
          <w:sz w:val="16"/>
          <w:szCs w:val="16"/>
        </w:rPr>
        <w:t xml:space="preserve"> 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16"/>
          <w:szCs w:val="16"/>
        </w:rPr>
        <w:t xml:space="preserve"> Курсанта.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федеральными государственными требованиями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и расписанием занятий Исполнителя.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Договора).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образовательные услуги, указанные в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статье 43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357843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578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 __ </w:t>
      </w:r>
      <w:r w:rsidRPr="001B3189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357843">
        <w:rPr>
          <w:rFonts w:ascii="Times New Roman" w:hAnsi="Times New Roman" w:cs="Times New Roman"/>
          <w:color w:val="000000" w:themeColor="text1"/>
          <w:sz w:val="16"/>
          <w:szCs w:val="16"/>
        </w:rPr>
        <w:t>рублей.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4.2. Оплата производится за наличный расчет или в безналичном порядке на счет, указанный  в  </w:t>
      </w:r>
      <w:hyperlink w:anchor="P157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 IX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95694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95694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убытков.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5.6.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95694">
        <w:rPr>
          <w:rFonts w:ascii="Times New Roman" w:hAnsi="Times New Roman" w:cs="Times New Roman"/>
          <w:sz w:val="16"/>
          <w:szCs w:val="16"/>
        </w:rPr>
        <w:t>VI. Ответственность Исполнителя и Обучающегося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 xml:space="preserve">двух недельный </w:t>
      </w:r>
      <w:r w:rsidRPr="00595694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существенный недостаток оказанной образовательной услуги или иные существенные отступления от условий Договора.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8.2.  Настоящий Договор составлен в 2(двух)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8.3. Изменения Договора оформляются дополнительными соглашениями к Договору.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2" w:name="P157"/>
      <w:bookmarkEnd w:id="2"/>
      <w:r w:rsidRPr="00595694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740FF9" w:rsidTr="00147695">
        <w:tc>
          <w:tcPr>
            <w:tcW w:w="4786" w:type="dxa"/>
          </w:tcPr>
          <w:p w:rsidR="00740FF9" w:rsidRPr="00C338C1" w:rsidRDefault="00740FF9" w:rsidP="0014769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678" w:type="dxa"/>
          </w:tcPr>
          <w:p w:rsidR="00740FF9" w:rsidRPr="00C338C1" w:rsidRDefault="00740FF9" w:rsidP="0014769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Обучающийся</w:t>
            </w:r>
          </w:p>
        </w:tc>
      </w:tr>
      <w:tr w:rsidR="00740FF9" w:rsidTr="00147695">
        <w:tc>
          <w:tcPr>
            <w:tcW w:w="4786" w:type="dxa"/>
            <w:vMerge w:val="restart"/>
          </w:tcPr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ГБПОУ Белебеевский колледж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механизации и электрификации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452000, Республика </w:t>
            </w:r>
            <w:r w:rsidRPr="00042145">
              <w:rPr>
                <w:rFonts w:ascii="Times New Roman" w:hAnsi="Times New Roman"/>
              </w:rPr>
              <w:t xml:space="preserve">Башкортостан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г</w:t>
            </w:r>
            <w:proofErr w:type="gramStart"/>
            <w:r w:rsidRPr="00042145">
              <w:rPr>
                <w:rFonts w:ascii="Times New Roman" w:hAnsi="Times New Roman"/>
              </w:rPr>
              <w:t>.Б</w:t>
            </w:r>
            <w:proofErr w:type="gramEnd"/>
            <w:r w:rsidRPr="00042145">
              <w:rPr>
                <w:rFonts w:ascii="Times New Roman" w:hAnsi="Times New Roman"/>
              </w:rPr>
              <w:t>елебей, ул.Советская,137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Тел. 8 (34786) 5-34-39</w:t>
            </w:r>
            <w:r>
              <w:rPr>
                <w:rFonts w:ascii="Times New Roman" w:hAnsi="Times New Roman"/>
              </w:rPr>
              <w:t>,5-34-08</w:t>
            </w:r>
            <w:r w:rsidRPr="00042145">
              <w:rPr>
                <w:rFonts w:ascii="Times New Roman" w:hAnsi="Times New Roman"/>
              </w:rPr>
              <w:t xml:space="preserve">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р</w:t>
            </w:r>
            <w:proofErr w:type="gramEnd"/>
            <w:r w:rsidRPr="00042145">
              <w:rPr>
                <w:rFonts w:ascii="Times New Roman" w:hAnsi="Times New Roman"/>
              </w:rPr>
              <w:t>/счет 40601810400003000001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л</w:t>
            </w:r>
            <w:proofErr w:type="gramEnd"/>
            <w:r w:rsidRPr="00042145">
              <w:rPr>
                <w:rFonts w:ascii="Times New Roman" w:hAnsi="Times New Roman"/>
              </w:rPr>
              <w:t>/</w:t>
            </w:r>
            <w:proofErr w:type="spellStart"/>
            <w:r w:rsidRPr="00042145">
              <w:rPr>
                <w:rFonts w:ascii="Times New Roman" w:hAnsi="Times New Roman"/>
              </w:rPr>
              <w:t>сч</w:t>
            </w:r>
            <w:proofErr w:type="spellEnd"/>
            <w:r w:rsidRPr="00042145">
              <w:rPr>
                <w:rFonts w:ascii="Times New Roman" w:hAnsi="Times New Roman"/>
              </w:rPr>
              <w:t xml:space="preserve"> 20112071910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Отделение НБ  Республики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Башкортостан  г</w:t>
            </w:r>
            <w:proofErr w:type="gramStart"/>
            <w:r w:rsidRPr="00042145">
              <w:rPr>
                <w:rFonts w:ascii="Times New Roman" w:hAnsi="Times New Roman"/>
              </w:rPr>
              <w:t>.У</w:t>
            </w:r>
            <w:proofErr w:type="gramEnd"/>
            <w:r w:rsidRPr="00042145">
              <w:rPr>
                <w:rFonts w:ascii="Times New Roman" w:hAnsi="Times New Roman"/>
              </w:rPr>
              <w:t>фа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ИНН/КПП 0255008768/025501001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БИК 048073001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</w:t>
            </w:r>
            <w:r w:rsidRPr="00042145">
              <w:rPr>
                <w:rFonts w:ascii="Times New Roman" w:hAnsi="Times New Roman"/>
              </w:rPr>
              <w:t xml:space="preserve">     </w:t>
            </w:r>
            <w:proofErr w:type="spellStart"/>
            <w:r w:rsidRPr="00042145">
              <w:rPr>
                <w:rFonts w:ascii="Times New Roman" w:hAnsi="Times New Roman"/>
              </w:rPr>
              <w:t>Н.А.Лукманов</w:t>
            </w:r>
            <w:proofErr w:type="spellEnd"/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A00AD6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</w:t>
            </w:r>
            <w:r w:rsidR="006E4225">
              <w:rPr>
                <w:rFonts w:ascii="Times New Roman" w:hAnsi="Times New Roman"/>
              </w:rPr>
              <w:t xml:space="preserve">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</w:p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</w:p>
        </w:tc>
      </w:tr>
    </w:tbl>
    <w:p w:rsidR="00892112" w:rsidRDefault="00892112" w:rsidP="00740FF9"/>
    <w:sectPr w:rsidR="00892112" w:rsidSect="00740F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9"/>
    <w:rsid w:val="002256FD"/>
    <w:rsid w:val="00277F1D"/>
    <w:rsid w:val="002F4246"/>
    <w:rsid w:val="00357843"/>
    <w:rsid w:val="0057501F"/>
    <w:rsid w:val="00591EEF"/>
    <w:rsid w:val="006E4225"/>
    <w:rsid w:val="00740FF9"/>
    <w:rsid w:val="00801D8C"/>
    <w:rsid w:val="00804565"/>
    <w:rsid w:val="00892112"/>
    <w:rsid w:val="0091522C"/>
    <w:rsid w:val="009F5F23"/>
    <w:rsid w:val="00A00AD6"/>
    <w:rsid w:val="00C226ED"/>
    <w:rsid w:val="00D26FE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40FF9"/>
    <w:rPr>
      <w:color w:val="0000FF"/>
      <w:u w:val="single"/>
    </w:rPr>
  </w:style>
  <w:style w:type="table" w:styleId="a4">
    <w:name w:val="Table Grid"/>
    <w:basedOn w:val="a1"/>
    <w:uiPriority w:val="59"/>
    <w:rsid w:val="00740F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40FF9"/>
    <w:rPr>
      <w:color w:val="0000FF"/>
      <w:u w:val="single"/>
    </w:rPr>
  </w:style>
  <w:style w:type="table" w:styleId="a4">
    <w:name w:val="Table Grid"/>
    <w:basedOn w:val="a1"/>
    <w:uiPriority w:val="59"/>
    <w:rsid w:val="00740F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4FEABCBA1020E4A1EACE98D3FC6D5423852572AF977C2EA683C637jFf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EACE98D3FC6D5422832D73AB977C2EA683C637F035566CE4DDB05E36152Ej1f4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0" Type="http://schemas.openxmlformats.org/officeDocument/2006/relationships/hyperlink" Target="consultantplus://offline/ref=9F3F4FEABCBA1020E4A1EACE98D3FC6D5422832D73AB977C2EA683C637F035566CE4DDB05E361420j1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F4FEABCBA1020E4A1EACE98D3FC6D5422832D73AB977C2EA683C637jF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Эдуард</cp:lastModifiedBy>
  <cp:revision>2</cp:revision>
  <cp:lastPrinted>2019-03-18T06:21:00Z</cp:lastPrinted>
  <dcterms:created xsi:type="dcterms:W3CDTF">2019-03-18T06:22:00Z</dcterms:created>
  <dcterms:modified xsi:type="dcterms:W3CDTF">2019-03-18T06:22:00Z</dcterms:modified>
</cp:coreProperties>
</file>